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odyText"/>
        <w:ind w:left="102"/>
        <w:rPr>
          <w:rFonts w:ascii="Times New Roman"/>
          <w:sz w:val="20"/>
        </w:rPr>
      </w:pPr>
      <w:r>
        <w:rPr>
          <w:rFonts w:cstheme="minorHAnsi"/>
          <w:b/>
          <w:noProof/>
          <w:u w:val="single"/>
        </w:rPr>
        <w:drawing>
          <wp:anchor distT="0" distB="0" distL="114300" distR="114300" simplePos="0" relativeHeight="251661312" behindDoc="0" locked="0" layoutInCell="1" allowOverlap="1">
            <wp:simplePos x="0" y="0"/>
            <wp:positionH relativeFrom="margin">
              <wp:posOffset>4794837</wp:posOffset>
            </wp:positionH>
            <wp:positionV relativeFrom="paragraph">
              <wp:posOffset>22578</wp:posOffset>
            </wp:positionV>
            <wp:extent cx="2065020" cy="115322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SPT 1 - Landscap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65020" cy="1153227"/>
                    </a:xfrm>
                    <a:prstGeom prst="rect">
                      <a:avLst/>
                    </a:prstGeom>
                  </pic:spPr>
                </pic:pic>
              </a:graphicData>
            </a:graphic>
            <wp14:sizeRelH relativeFrom="margin">
              <wp14:pctWidth>0</wp14:pctWidth>
            </wp14:sizeRelH>
            <wp14:sizeRelV relativeFrom="margin">
              <wp14:pctHeight>0</wp14:pctHeight>
            </wp14:sizeRelV>
          </wp:anchor>
        </w:drawing>
      </w:r>
      <w:r>
        <w:rPr>
          <w:noProof/>
          <w:lang w:bidi="ar-SA"/>
        </w:rPr>
        <w:drawing>
          <wp:anchor distT="0" distB="0" distL="114300" distR="114300" simplePos="0" relativeHeight="251659264" behindDoc="0" locked="0" layoutInCell="1" allowOverlap="1">
            <wp:simplePos x="0" y="0"/>
            <wp:positionH relativeFrom="column">
              <wp:posOffset>495300</wp:posOffset>
            </wp:positionH>
            <wp:positionV relativeFrom="paragraph">
              <wp:posOffset>-118110</wp:posOffset>
            </wp:positionV>
            <wp:extent cx="1723764" cy="1232213"/>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SHS Logo - Portrait - FOR LIGHT B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23764" cy="1232213"/>
                    </a:xfrm>
                    <a:prstGeom prst="rect">
                      <a:avLst/>
                    </a:prstGeom>
                  </pic:spPr>
                </pic:pic>
              </a:graphicData>
            </a:graphic>
            <wp14:sizeRelH relativeFrom="margin">
              <wp14:pctWidth>0</wp14:pctWidth>
            </wp14:sizeRelH>
            <wp14:sizeRelV relativeFrom="margin">
              <wp14:pctHeight>0</wp14:pctHeight>
            </wp14:sizeRelV>
          </wp:anchor>
        </w:drawing>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before="224"/>
        <w:ind w:left="3257"/>
        <w:rPr>
          <w:b/>
          <w:sz w:val="40"/>
        </w:rPr>
      </w:pPr>
    </w:p>
    <w:p>
      <w:pPr>
        <w:spacing w:before="224"/>
        <w:ind w:left="3257"/>
        <w:rPr>
          <w:b/>
          <w:sz w:val="40"/>
        </w:rPr>
      </w:pPr>
      <w:r>
        <w:rPr>
          <w:b/>
          <w:sz w:val="40"/>
        </w:rPr>
        <w:t>Safeguarding Statement</w:t>
      </w:r>
      <w:bookmarkStart w:id="0" w:name="_GoBack"/>
      <w:bookmarkEnd w:id="0"/>
    </w:p>
    <w:p>
      <w:pPr>
        <w:pStyle w:val="BodyText"/>
        <w:spacing w:before="7"/>
        <w:rPr>
          <w:b/>
          <w:sz w:val="64"/>
        </w:rPr>
      </w:pPr>
    </w:p>
    <w:p>
      <w:pPr>
        <w:pStyle w:val="Heading1"/>
      </w:pPr>
      <w:r>
        <w:t>Commitment</w:t>
      </w:r>
    </w:p>
    <w:p>
      <w:pPr>
        <w:pStyle w:val="BodyText"/>
        <w:spacing w:before="250" w:line="276" w:lineRule="auto"/>
        <w:ind w:left="1080" w:right="119"/>
        <w:jc w:val="both"/>
      </w:pPr>
      <w:r>
        <w:t>Within</w:t>
      </w:r>
      <w:r>
        <w:rPr>
          <w:spacing w:val="-7"/>
        </w:rPr>
        <w:t xml:space="preserve"> </w:t>
      </w:r>
      <w:r>
        <w:t>the</w:t>
      </w:r>
      <w:r>
        <w:rPr>
          <w:spacing w:val="-10"/>
        </w:rPr>
        <w:t xml:space="preserve"> </w:t>
      </w:r>
      <w:r>
        <w:t>Stamford Park Trust,</w:t>
      </w:r>
      <w:r>
        <w:rPr>
          <w:spacing w:val="-12"/>
        </w:rPr>
        <w:t xml:space="preserve"> </w:t>
      </w:r>
      <w:r>
        <w:t>we</w:t>
      </w:r>
      <w:r>
        <w:rPr>
          <w:spacing w:val="-10"/>
        </w:rPr>
        <w:t xml:space="preserve"> </w:t>
      </w:r>
      <w:r>
        <w:t>are</w:t>
      </w:r>
      <w:r>
        <w:rPr>
          <w:spacing w:val="-10"/>
        </w:rPr>
        <w:t xml:space="preserve"> </w:t>
      </w:r>
      <w:r>
        <w:t>committed</w:t>
      </w:r>
      <w:r>
        <w:rPr>
          <w:spacing w:val="-7"/>
        </w:rPr>
        <w:t xml:space="preserve"> </w:t>
      </w:r>
      <w:r>
        <w:t>to</w:t>
      </w:r>
      <w:r>
        <w:rPr>
          <w:spacing w:val="-10"/>
        </w:rPr>
        <w:t xml:space="preserve"> </w:t>
      </w:r>
      <w:r>
        <w:t>safeguarding</w:t>
      </w:r>
      <w:r>
        <w:rPr>
          <w:spacing w:val="-11"/>
        </w:rPr>
        <w:t xml:space="preserve"> </w:t>
      </w:r>
      <w:r>
        <w:t>and promoting the welfare of all children and young people, in line with the duty placed on us by section 175 of the Education Act</w:t>
      </w:r>
      <w:r>
        <w:rPr>
          <w:spacing w:val="-9"/>
        </w:rPr>
        <w:t xml:space="preserve"> </w:t>
      </w:r>
      <w:r>
        <w:t>2002.</w:t>
      </w:r>
    </w:p>
    <w:p>
      <w:pPr>
        <w:pStyle w:val="BodyText"/>
        <w:spacing w:before="201" w:line="276" w:lineRule="auto"/>
        <w:ind w:left="1080" w:right="122"/>
        <w:jc w:val="both"/>
      </w:pPr>
      <w:r>
        <w:t>We strongly believe that all children and young people have the right to feel safe and to be protected from physical, sexual or emotional abuse and neglect.</w:t>
      </w:r>
    </w:p>
    <w:p>
      <w:pPr>
        <w:pStyle w:val="BodyText"/>
        <w:spacing w:before="200"/>
        <w:ind w:left="1080"/>
      </w:pPr>
      <w:r>
        <w:t>The Stamford Park Trust is committed to:</w:t>
      </w:r>
    </w:p>
    <w:p>
      <w:pPr>
        <w:pStyle w:val="ListParagraph"/>
        <w:numPr>
          <w:ilvl w:val="0"/>
          <w:numId w:val="1"/>
        </w:numPr>
        <w:tabs>
          <w:tab w:val="left" w:pos="1441"/>
        </w:tabs>
        <w:spacing w:before="243" w:line="276" w:lineRule="auto"/>
        <w:jc w:val="both"/>
        <w:rPr>
          <w:sz w:val="24"/>
        </w:rPr>
      </w:pPr>
      <w:r>
        <w:rPr>
          <w:sz w:val="24"/>
        </w:rPr>
        <w:t>Attracting and recruiting individuals who are best suited to meet the standards</w:t>
      </w:r>
      <w:r>
        <w:rPr>
          <w:spacing w:val="-12"/>
          <w:sz w:val="24"/>
        </w:rPr>
        <w:t xml:space="preserve"> </w:t>
      </w:r>
      <w:r>
        <w:rPr>
          <w:sz w:val="24"/>
        </w:rPr>
        <w:t>for</w:t>
      </w:r>
      <w:r>
        <w:rPr>
          <w:spacing w:val="-9"/>
          <w:sz w:val="24"/>
        </w:rPr>
        <w:t xml:space="preserve"> </w:t>
      </w:r>
      <w:r>
        <w:rPr>
          <w:sz w:val="24"/>
        </w:rPr>
        <w:t>the</w:t>
      </w:r>
      <w:r>
        <w:rPr>
          <w:spacing w:val="-10"/>
          <w:sz w:val="24"/>
        </w:rPr>
        <w:t xml:space="preserve"> </w:t>
      </w:r>
      <w:r>
        <w:rPr>
          <w:sz w:val="24"/>
        </w:rPr>
        <w:t>job.</w:t>
      </w:r>
      <w:r>
        <w:rPr>
          <w:spacing w:val="45"/>
          <w:sz w:val="24"/>
        </w:rPr>
        <w:t xml:space="preserve"> </w:t>
      </w:r>
      <w:r>
        <w:rPr>
          <w:sz w:val="24"/>
        </w:rPr>
        <w:t>Decisions</w:t>
      </w:r>
      <w:r>
        <w:rPr>
          <w:spacing w:val="-13"/>
          <w:sz w:val="24"/>
        </w:rPr>
        <w:t xml:space="preserve"> </w:t>
      </w:r>
      <w:r>
        <w:rPr>
          <w:sz w:val="24"/>
        </w:rPr>
        <w:t>on</w:t>
      </w:r>
      <w:r>
        <w:rPr>
          <w:spacing w:val="-9"/>
          <w:sz w:val="24"/>
        </w:rPr>
        <w:t xml:space="preserve"> </w:t>
      </w:r>
      <w:r>
        <w:rPr>
          <w:sz w:val="24"/>
        </w:rPr>
        <w:t>the</w:t>
      </w:r>
      <w:r>
        <w:rPr>
          <w:spacing w:val="-11"/>
          <w:sz w:val="24"/>
        </w:rPr>
        <w:t xml:space="preserve"> </w:t>
      </w:r>
      <w:r>
        <w:rPr>
          <w:sz w:val="24"/>
        </w:rPr>
        <w:t>suitability</w:t>
      </w:r>
      <w:r>
        <w:rPr>
          <w:spacing w:val="-11"/>
          <w:sz w:val="24"/>
        </w:rPr>
        <w:t xml:space="preserve"> </w:t>
      </w:r>
      <w:r>
        <w:rPr>
          <w:sz w:val="24"/>
        </w:rPr>
        <w:t>of</w:t>
      </w:r>
      <w:r>
        <w:rPr>
          <w:spacing w:val="-10"/>
          <w:sz w:val="24"/>
        </w:rPr>
        <w:t xml:space="preserve"> </w:t>
      </w:r>
      <w:r>
        <w:rPr>
          <w:sz w:val="24"/>
        </w:rPr>
        <w:t>applicants</w:t>
      </w:r>
      <w:r>
        <w:rPr>
          <w:spacing w:val="-10"/>
          <w:sz w:val="24"/>
        </w:rPr>
        <w:t xml:space="preserve"> </w:t>
      </w:r>
      <w:r>
        <w:rPr>
          <w:sz w:val="24"/>
        </w:rPr>
        <w:t>will</w:t>
      </w:r>
      <w:r>
        <w:rPr>
          <w:spacing w:val="-9"/>
          <w:sz w:val="24"/>
        </w:rPr>
        <w:t xml:space="preserve"> </w:t>
      </w:r>
      <w:r>
        <w:rPr>
          <w:sz w:val="24"/>
        </w:rPr>
        <w:t>be</w:t>
      </w:r>
      <w:r>
        <w:rPr>
          <w:spacing w:val="-14"/>
          <w:sz w:val="24"/>
        </w:rPr>
        <w:t xml:space="preserve"> </w:t>
      </w:r>
      <w:r>
        <w:rPr>
          <w:sz w:val="24"/>
        </w:rPr>
        <w:t>made without regard to gender, race, disability, religion or belief, age, sexual orientation, gender reassignment, marital or civil partnership status, pregnancy and maternity status or membership or non-membership of a trade</w:t>
      </w:r>
      <w:r>
        <w:rPr>
          <w:spacing w:val="-1"/>
          <w:sz w:val="24"/>
        </w:rPr>
        <w:t xml:space="preserve"> </w:t>
      </w:r>
      <w:r>
        <w:rPr>
          <w:sz w:val="24"/>
        </w:rPr>
        <w:t>union.</w:t>
      </w:r>
    </w:p>
    <w:p>
      <w:pPr>
        <w:pStyle w:val="ListParagraph"/>
        <w:numPr>
          <w:ilvl w:val="0"/>
          <w:numId w:val="1"/>
        </w:numPr>
        <w:tabs>
          <w:tab w:val="left" w:pos="1440"/>
          <w:tab w:val="left" w:pos="1441"/>
        </w:tabs>
        <w:spacing w:line="276" w:lineRule="auto"/>
        <w:ind w:right="122"/>
        <w:rPr>
          <w:sz w:val="24"/>
        </w:rPr>
      </w:pPr>
      <w:r>
        <w:rPr>
          <w:sz w:val="24"/>
        </w:rPr>
        <w:t>Safeguarding and promoting the welfare of students and expects all employees and volunteers to share this</w:t>
      </w:r>
      <w:r>
        <w:rPr>
          <w:spacing w:val="1"/>
          <w:sz w:val="24"/>
        </w:rPr>
        <w:t xml:space="preserve"> </w:t>
      </w:r>
      <w:r>
        <w:rPr>
          <w:sz w:val="24"/>
        </w:rPr>
        <w:t>commitment.</w:t>
      </w:r>
    </w:p>
    <w:p>
      <w:pPr>
        <w:pStyle w:val="BodyText"/>
        <w:rPr>
          <w:sz w:val="28"/>
        </w:rPr>
      </w:pPr>
    </w:p>
    <w:p>
      <w:pPr>
        <w:pStyle w:val="BodyText"/>
        <w:spacing w:before="11"/>
        <w:rPr>
          <w:sz w:val="36"/>
        </w:rPr>
      </w:pPr>
    </w:p>
    <w:p>
      <w:pPr>
        <w:pStyle w:val="Heading1"/>
      </w:pPr>
      <w:r>
        <w:t>Scope of our Commitment</w:t>
      </w:r>
    </w:p>
    <w:p>
      <w:pPr>
        <w:pStyle w:val="BodyText"/>
        <w:spacing w:before="251" w:line="276" w:lineRule="auto"/>
        <w:ind w:left="1080" w:right="120"/>
        <w:jc w:val="both"/>
      </w:pPr>
      <w:r>
        <w:t>At our school safeguarding encompasses child protection, safer recruitment, managing allegations against member of staff as well our approach to the Team around the Child process. It is also supported by our approach to behaviour management, our response to managing bullying, our off site learning policies, our response to young people who are absent from school, our health and safety policy and e-safety Policy.</w:t>
      </w:r>
    </w:p>
    <w:p>
      <w:pPr>
        <w:spacing w:before="195"/>
        <w:ind w:left="1080" w:right="116"/>
        <w:jc w:val="both"/>
        <w:rPr>
          <w:b/>
          <w:i/>
          <w:sz w:val="24"/>
        </w:rPr>
      </w:pPr>
      <w:r>
        <w:rPr>
          <w:b/>
          <w:i/>
          <w:sz w:val="24"/>
        </w:rPr>
        <w:t>This</w:t>
      </w:r>
      <w:r>
        <w:rPr>
          <w:b/>
          <w:i/>
          <w:spacing w:val="-17"/>
          <w:sz w:val="24"/>
        </w:rPr>
        <w:t xml:space="preserve"> </w:t>
      </w:r>
      <w:r>
        <w:rPr>
          <w:b/>
          <w:i/>
          <w:sz w:val="24"/>
        </w:rPr>
        <w:t>school</w:t>
      </w:r>
      <w:r>
        <w:rPr>
          <w:b/>
          <w:i/>
          <w:spacing w:val="-17"/>
          <w:sz w:val="24"/>
        </w:rPr>
        <w:t xml:space="preserve"> </w:t>
      </w:r>
      <w:r>
        <w:rPr>
          <w:b/>
          <w:i/>
          <w:sz w:val="24"/>
        </w:rPr>
        <w:t>is</w:t>
      </w:r>
      <w:r>
        <w:rPr>
          <w:b/>
          <w:i/>
          <w:spacing w:val="-17"/>
          <w:sz w:val="24"/>
        </w:rPr>
        <w:t xml:space="preserve"> </w:t>
      </w:r>
      <w:r>
        <w:rPr>
          <w:b/>
          <w:i/>
          <w:sz w:val="24"/>
        </w:rPr>
        <w:t>committed</w:t>
      </w:r>
      <w:r>
        <w:rPr>
          <w:b/>
          <w:i/>
          <w:spacing w:val="-17"/>
          <w:sz w:val="24"/>
        </w:rPr>
        <w:t xml:space="preserve"> </w:t>
      </w:r>
      <w:r>
        <w:rPr>
          <w:b/>
          <w:i/>
          <w:sz w:val="24"/>
        </w:rPr>
        <w:t>to</w:t>
      </w:r>
      <w:r>
        <w:rPr>
          <w:b/>
          <w:i/>
          <w:spacing w:val="-16"/>
          <w:sz w:val="24"/>
        </w:rPr>
        <w:t xml:space="preserve"> </w:t>
      </w:r>
      <w:r>
        <w:rPr>
          <w:b/>
          <w:i/>
          <w:sz w:val="24"/>
        </w:rPr>
        <w:t>safeguarding</w:t>
      </w:r>
      <w:r>
        <w:rPr>
          <w:b/>
          <w:i/>
          <w:spacing w:val="-14"/>
          <w:sz w:val="24"/>
        </w:rPr>
        <w:t xml:space="preserve"> </w:t>
      </w:r>
      <w:r>
        <w:rPr>
          <w:b/>
          <w:i/>
          <w:sz w:val="24"/>
        </w:rPr>
        <w:t>and</w:t>
      </w:r>
      <w:r>
        <w:rPr>
          <w:b/>
          <w:i/>
          <w:spacing w:val="-17"/>
          <w:sz w:val="24"/>
        </w:rPr>
        <w:t xml:space="preserve"> </w:t>
      </w:r>
      <w:r>
        <w:rPr>
          <w:b/>
          <w:i/>
          <w:sz w:val="24"/>
        </w:rPr>
        <w:t>promoting</w:t>
      </w:r>
      <w:r>
        <w:rPr>
          <w:b/>
          <w:i/>
          <w:spacing w:val="-17"/>
          <w:sz w:val="24"/>
        </w:rPr>
        <w:t xml:space="preserve"> </w:t>
      </w:r>
      <w:r>
        <w:rPr>
          <w:b/>
          <w:i/>
          <w:sz w:val="24"/>
        </w:rPr>
        <w:t>the</w:t>
      </w:r>
      <w:r>
        <w:rPr>
          <w:b/>
          <w:i/>
          <w:spacing w:val="-16"/>
          <w:sz w:val="24"/>
        </w:rPr>
        <w:t xml:space="preserve"> </w:t>
      </w:r>
      <w:r>
        <w:rPr>
          <w:b/>
          <w:i/>
          <w:sz w:val="24"/>
        </w:rPr>
        <w:t>welfare</w:t>
      </w:r>
      <w:r>
        <w:rPr>
          <w:b/>
          <w:i/>
          <w:spacing w:val="-17"/>
          <w:sz w:val="24"/>
        </w:rPr>
        <w:t xml:space="preserve"> </w:t>
      </w:r>
      <w:r>
        <w:rPr>
          <w:b/>
          <w:i/>
          <w:sz w:val="24"/>
        </w:rPr>
        <w:t>of</w:t>
      </w:r>
      <w:r>
        <w:rPr>
          <w:b/>
          <w:i/>
          <w:spacing w:val="-17"/>
          <w:sz w:val="24"/>
        </w:rPr>
        <w:t xml:space="preserve"> </w:t>
      </w:r>
      <w:r>
        <w:rPr>
          <w:b/>
          <w:i/>
          <w:sz w:val="24"/>
        </w:rPr>
        <w:t>children and young people and expects all staff and volunteers to share this commitment.</w:t>
      </w:r>
      <w:r>
        <w:rPr>
          <w:b/>
          <w:i/>
          <w:spacing w:val="-18"/>
          <w:sz w:val="24"/>
        </w:rPr>
        <w:t xml:space="preserve"> </w:t>
      </w:r>
      <w:r>
        <w:rPr>
          <w:b/>
          <w:i/>
          <w:sz w:val="24"/>
        </w:rPr>
        <w:t>The</w:t>
      </w:r>
      <w:r>
        <w:rPr>
          <w:b/>
          <w:i/>
          <w:spacing w:val="-16"/>
          <w:sz w:val="24"/>
        </w:rPr>
        <w:t xml:space="preserve"> </w:t>
      </w:r>
      <w:r>
        <w:rPr>
          <w:b/>
          <w:i/>
          <w:sz w:val="24"/>
        </w:rPr>
        <w:t>successful</w:t>
      </w:r>
      <w:r>
        <w:rPr>
          <w:b/>
          <w:i/>
          <w:spacing w:val="-17"/>
          <w:sz w:val="24"/>
        </w:rPr>
        <w:t xml:space="preserve"> </w:t>
      </w:r>
      <w:r>
        <w:rPr>
          <w:b/>
          <w:i/>
          <w:sz w:val="24"/>
        </w:rPr>
        <w:t>candidate</w:t>
      </w:r>
      <w:r>
        <w:rPr>
          <w:b/>
          <w:i/>
          <w:spacing w:val="-15"/>
          <w:sz w:val="24"/>
        </w:rPr>
        <w:t xml:space="preserve"> </w:t>
      </w:r>
      <w:r>
        <w:rPr>
          <w:b/>
          <w:i/>
          <w:sz w:val="24"/>
        </w:rPr>
        <w:t>will</w:t>
      </w:r>
      <w:r>
        <w:rPr>
          <w:b/>
          <w:i/>
          <w:spacing w:val="-16"/>
          <w:sz w:val="24"/>
        </w:rPr>
        <w:t xml:space="preserve"> </w:t>
      </w:r>
      <w:r>
        <w:rPr>
          <w:b/>
          <w:i/>
          <w:sz w:val="24"/>
        </w:rPr>
        <w:t>undertake</w:t>
      </w:r>
      <w:r>
        <w:rPr>
          <w:b/>
          <w:i/>
          <w:spacing w:val="-17"/>
          <w:sz w:val="24"/>
        </w:rPr>
        <w:t xml:space="preserve"> </w:t>
      </w:r>
      <w:r>
        <w:rPr>
          <w:b/>
          <w:i/>
          <w:sz w:val="24"/>
        </w:rPr>
        <w:t>an</w:t>
      </w:r>
      <w:r>
        <w:rPr>
          <w:b/>
          <w:i/>
          <w:spacing w:val="-17"/>
          <w:sz w:val="24"/>
        </w:rPr>
        <w:t xml:space="preserve"> </w:t>
      </w:r>
      <w:r>
        <w:rPr>
          <w:b/>
          <w:i/>
          <w:sz w:val="24"/>
        </w:rPr>
        <w:t>Enhanced</w:t>
      </w:r>
      <w:r>
        <w:rPr>
          <w:b/>
          <w:i/>
          <w:spacing w:val="-17"/>
          <w:sz w:val="24"/>
        </w:rPr>
        <w:t xml:space="preserve"> </w:t>
      </w:r>
      <w:r>
        <w:rPr>
          <w:b/>
          <w:i/>
          <w:sz w:val="24"/>
        </w:rPr>
        <w:t>Disclosure via the DBS, where</w:t>
      </w:r>
      <w:r>
        <w:rPr>
          <w:b/>
          <w:i/>
          <w:spacing w:val="-2"/>
          <w:sz w:val="24"/>
        </w:rPr>
        <w:t xml:space="preserve"> </w:t>
      </w:r>
      <w:r>
        <w:rPr>
          <w:b/>
          <w:i/>
          <w:sz w:val="24"/>
        </w:rPr>
        <w:t>appropriate.</w:t>
      </w:r>
    </w:p>
    <w:sectPr>
      <w:type w:val="continuous"/>
      <w:pgSz w:w="11910" w:h="16840"/>
      <w:pgMar w:top="520" w:right="132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DF3C0E"/>
    <w:multiLevelType w:val="hybridMultilevel"/>
    <w:tmpl w:val="2EF0FB80"/>
    <w:lvl w:ilvl="0" w:tplc="290E489E">
      <w:numFmt w:val="bullet"/>
      <w:lvlText w:val=""/>
      <w:lvlJc w:val="left"/>
      <w:pPr>
        <w:ind w:left="1440" w:hanging="360"/>
      </w:pPr>
      <w:rPr>
        <w:rFonts w:ascii="Symbol" w:eastAsia="Symbol" w:hAnsi="Symbol" w:cs="Symbol" w:hint="default"/>
        <w:w w:val="100"/>
        <w:sz w:val="24"/>
        <w:szCs w:val="24"/>
        <w:lang w:val="en-GB" w:eastAsia="en-GB" w:bidi="en-GB"/>
      </w:rPr>
    </w:lvl>
    <w:lvl w:ilvl="1" w:tplc="4DB6CD1A">
      <w:numFmt w:val="bullet"/>
      <w:lvlText w:val="•"/>
      <w:lvlJc w:val="left"/>
      <w:pPr>
        <w:ind w:left="2318" w:hanging="360"/>
      </w:pPr>
      <w:rPr>
        <w:rFonts w:hint="default"/>
        <w:lang w:val="en-GB" w:eastAsia="en-GB" w:bidi="en-GB"/>
      </w:rPr>
    </w:lvl>
    <w:lvl w:ilvl="2" w:tplc="DD76A122">
      <w:numFmt w:val="bullet"/>
      <w:lvlText w:val="•"/>
      <w:lvlJc w:val="left"/>
      <w:pPr>
        <w:ind w:left="3197" w:hanging="360"/>
      </w:pPr>
      <w:rPr>
        <w:rFonts w:hint="default"/>
        <w:lang w:val="en-GB" w:eastAsia="en-GB" w:bidi="en-GB"/>
      </w:rPr>
    </w:lvl>
    <w:lvl w:ilvl="3" w:tplc="2632B608">
      <w:numFmt w:val="bullet"/>
      <w:lvlText w:val="•"/>
      <w:lvlJc w:val="left"/>
      <w:pPr>
        <w:ind w:left="4075" w:hanging="360"/>
      </w:pPr>
      <w:rPr>
        <w:rFonts w:hint="default"/>
        <w:lang w:val="en-GB" w:eastAsia="en-GB" w:bidi="en-GB"/>
      </w:rPr>
    </w:lvl>
    <w:lvl w:ilvl="4" w:tplc="FB0CB288">
      <w:numFmt w:val="bullet"/>
      <w:lvlText w:val="•"/>
      <w:lvlJc w:val="left"/>
      <w:pPr>
        <w:ind w:left="4954" w:hanging="360"/>
      </w:pPr>
      <w:rPr>
        <w:rFonts w:hint="default"/>
        <w:lang w:val="en-GB" w:eastAsia="en-GB" w:bidi="en-GB"/>
      </w:rPr>
    </w:lvl>
    <w:lvl w:ilvl="5" w:tplc="7B1C65C8">
      <w:numFmt w:val="bullet"/>
      <w:lvlText w:val="•"/>
      <w:lvlJc w:val="left"/>
      <w:pPr>
        <w:ind w:left="5833" w:hanging="360"/>
      </w:pPr>
      <w:rPr>
        <w:rFonts w:hint="default"/>
        <w:lang w:val="en-GB" w:eastAsia="en-GB" w:bidi="en-GB"/>
      </w:rPr>
    </w:lvl>
    <w:lvl w:ilvl="6" w:tplc="32DC9892">
      <w:numFmt w:val="bullet"/>
      <w:lvlText w:val="•"/>
      <w:lvlJc w:val="left"/>
      <w:pPr>
        <w:ind w:left="6711" w:hanging="360"/>
      </w:pPr>
      <w:rPr>
        <w:rFonts w:hint="default"/>
        <w:lang w:val="en-GB" w:eastAsia="en-GB" w:bidi="en-GB"/>
      </w:rPr>
    </w:lvl>
    <w:lvl w:ilvl="7" w:tplc="C21AF3C8">
      <w:numFmt w:val="bullet"/>
      <w:lvlText w:val="•"/>
      <w:lvlJc w:val="left"/>
      <w:pPr>
        <w:ind w:left="7590" w:hanging="360"/>
      </w:pPr>
      <w:rPr>
        <w:rFonts w:hint="default"/>
        <w:lang w:val="en-GB" w:eastAsia="en-GB" w:bidi="en-GB"/>
      </w:rPr>
    </w:lvl>
    <w:lvl w:ilvl="8" w:tplc="C05047F2">
      <w:numFmt w:val="bullet"/>
      <w:lvlText w:val="•"/>
      <w:lvlJc w:val="left"/>
      <w:pPr>
        <w:ind w:left="8469" w:hanging="360"/>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02EEA0-345C-4091-A1A8-A96F8CAF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entury Gothic" w:eastAsia="Century Gothic" w:hAnsi="Century Gothic" w:cs="Century Gothic"/>
      <w:lang w:val="en-GB" w:eastAsia="en-GB" w:bidi="en-GB"/>
    </w:rPr>
  </w:style>
  <w:style w:type="paragraph" w:styleId="Heading1">
    <w:name w:val="heading 1"/>
    <w:basedOn w:val="Normal"/>
    <w:uiPriority w:val="1"/>
    <w:qFormat/>
    <w:pPr>
      <w:ind w:left="108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02"/>
      <w:ind w:left="1440" w:right="115"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Longdendale High School</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c:creator>
  <cp:lastModifiedBy>Louise Hoyle</cp:lastModifiedBy>
  <cp:revision>3</cp:revision>
  <dcterms:created xsi:type="dcterms:W3CDTF">2021-10-12T16:36:00Z</dcterms:created>
  <dcterms:modified xsi:type="dcterms:W3CDTF">2021-10-12T17:04:00Z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2018-02-08T00:00:00Z</vt:filetime>
  </property>
  <property fmtid="{D5CDD505-2E9C-101B-9397-08002B2CF9AE}" pid="3" name="Creator">
    <vt:lpwstr>Microsoft® Word 2016</vt:lpwstr>
  </property>
  <property fmtid="{D5CDD505-2E9C-101B-9397-08002B2CF9AE}" pid="4" name="LastSaved">
    <vt:filetime>2021-02-26T00:00:00Z</vt:filetime>
  </property>
</Properties>
</file>